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cs" w:ascii="TH SarabunPSK" w:hAnsi="TH SarabunPSK" w:cs="TH SarabunPSK"/>
          <w:sz w:val="32"/>
          <w:szCs w:val="32"/>
          <w:cs w:val="0"/>
          <w:lang w:val="en-US" w:bidi="th-TH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/>
        </w:rPr>
        <w:t>ประเด็น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PSK" w:hAnsi="TH SarabunPSK" w:cs="TH SarabunPSK"/>
          <w:b/>
          <w:bCs/>
          <w:sz w:val="32"/>
          <w:szCs w:val="32"/>
          <w:cs w:val="0"/>
          <w:lang w:val="en-US" w:bidi="th-TH"/>
        </w:rPr>
        <w:t>Hot Issue</w:t>
      </w:r>
    </w:p>
    <w:tbl>
      <w:tblPr>
        <w:tblStyle w:val="5"/>
        <w:tblW w:w="97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80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ประเด็น</w:t>
            </w:r>
          </w:p>
        </w:tc>
        <w:tc>
          <w:tcPr>
            <w:tcW w:w="1440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หน่วยงาน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น้ำมันเชื้อเพลิง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สถานการณ์พลังงานและแนวโน้มราคาน้ำมันเชื้อเพลิง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สนพ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1.2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ราคาน้ำมันมีค่าการตลาดสูง ค่าการกลั่นสูง ราคาน้ำมันไม่ลดลงตามตลาดโลก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สนพ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1.3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ราคาน้ำมันและโครงสร้างราคาน้ำมันของประเทศเพื่อนบ้าน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สนพ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1.4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โครงการอุดหนุนราคา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LPG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ผ่านบัตรสวัสดิการแห่งรัฐ และโครงการวินเซฟ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ธพ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1.5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สถานะกองทุนน้ำมันเชื้อเพลิง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การจัดหาเงินเข้ากองทุนฯ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สกนช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1.6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สถานการณ์สต็อคน้ำมันปาล์มและและแนวทางการบริหาร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>B100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พพ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1.7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ความเป็นไปได้ในการจัดหาน้ำมันดิบจากรัสเซีย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ปตท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 xml:space="preserve">     1.8  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ค่าการกลั่น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  <w:t>สนพ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ไฟฟ้า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โครงสร้างราคาค่าไฟ และมาตรการช่วยเหลือค่าไฟฟ้า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สกพ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./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สนพ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สถานการณ์การรับซื้อไฟฟ้าจากพลังงานหมุนเวียน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สนพ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2.3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โรงไฟฟ้าล้นทำให้ค่าไฟฟ้าแพง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สนพ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2.4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ราคาไฟฟ้าและโครงสร้างราคาค่าไฟฟ้าของประเทศเพื่อนบ้าน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และมาตรการช่วยเหลือประชาชน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สกพ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สนพ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>2.5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Energy pool price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สกพ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>2.6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การส่งเสริมโรงไฟฟ้าชุมชนเพื่อเศรษฐกิจฐานราก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พพ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>2.7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แผนการรับซื้อและนำเข้าพลังงานสะอาด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สนพ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>2.8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ประเด็นการชี้แจงของ กฟผ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กฟผ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ปตท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กำไรมาก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ปตท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กำไรมาก จะแก้ไขอย่างไร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ปตท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ก๊าซธรรมชาติ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การดำเนินงานในช่วงเปลี่ยนผ่านของแปลงสำรวจในอ่าวไทยหมายเลข </w:t>
            </w:r>
            <w:r>
              <w:rPr>
                <w:rFonts w:ascii="TH SarabunPSK" w:hAnsi="TH SarabunPSK" w:cs="TH SarabunPSK"/>
                <w:sz w:val="30"/>
                <w:szCs w:val="30"/>
              </w:rPr>
              <w:t>G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1/61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และ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G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2/61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ชธ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>4.2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การเตรียมการเปิดให้ยื่นขอสิทธิสำรวจและผลิตปิโตรเลียมในทะเลอ่าวไทย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bid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24)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ชธ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>4.3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พื้นที่อ้างสิทธิไหล่ทวีปทับซ้อนไทย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กัมพูชา    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ชธ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4.4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การบริหารจัดการความต่อเนื่องจัดหาก๊าซธรรมชาติ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สถานการณ์ก๊าซเมียนมาร์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ชธ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./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ปตท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tabs>
                <w:tab w:val="left" w:pos="343"/>
                <w:tab w:val="left" w:pos="666"/>
              </w:tabs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หมวด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มาตรการช่วยเหลือด้านพลังงาน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bidi="th-TH"/>
              </w:rPr>
              <w:t>สป</w:t>
            </w:r>
            <w:r>
              <w:rPr>
                <w:rFonts w:hint="cs" w:ascii="TH SarabunPSK" w:hAnsi="TH SarabunPSK" w:cs="TH SarabunPSK"/>
                <w:sz w:val="30"/>
                <w:szCs w:val="30"/>
                <w:cs/>
                <w:lang w:val="en-US" w:bidi="th-TH"/>
              </w:rPr>
              <w:t>.พน.</w:t>
            </w:r>
          </w:p>
        </w:tc>
      </w:tr>
    </w:tbl>
    <w:p>
      <w:pPr>
        <w:tabs>
          <w:tab w:val="left" w:pos="270"/>
          <w:tab w:val="left" w:pos="810"/>
          <w:tab w:val="left" w:pos="1350"/>
        </w:tabs>
        <w:kinsoku w:val="0"/>
        <w:overflowPunct w:val="0"/>
        <w:spacing w:after="0" w:line="240" w:lineRule="auto"/>
        <w:textAlignment w:val="baseline"/>
        <w:rPr>
          <w:rFonts w:ascii="TH SarabunPSK" w:hAnsi="TH SarabunPSK" w:eastAsia="Times New Roman" w:cs="TH SarabunPSK"/>
          <w:sz w:val="32"/>
          <w:szCs w:val="32"/>
        </w:rPr>
      </w:pPr>
    </w:p>
    <w:p>
      <w:pPr>
        <w:tabs>
          <w:tab w:val="left" w:pos="270"/>
          <w:tab w:val="left" w:pos="810"/>
          <w:tab w:val="left" w:pos="1350"/>
        </w:tabs>
        <w:kinsoku w:val="0"/>
        <w:overflowPunct w:val="0"/>
        <w:spacing w:after="0" w:line="240" w:lineRule="auto"/>
        <w:textAlignment w:val="baseline"/>
        <w:rPr>
          <w:rFonts w:ascii="TH SarabunPSK" w:hAnsi="TH SarabunPSK" w:eastAsia="Times New Roman" w:cs="TH SarabunPSK"/>
          <w:sz w:val="32"/>
          <w:szCs w:val="32"/>
        </w:rPr>
      </w:pPr>
      <w:bookmarkStart w:id="0" w:name="_GoBack"/>
      <w:bookmarkEnd w:id="0"/>
    </w:p>
    <w:p>
      <w:pPr>
        <w:tabs>
          <w:tab w:val="left" w:pos="270"/>
          <w:tab w:val="left" w:pos="810"/>
          <w:tab w:val="left" w:pos="1350"/>
        </w:tabs>
        <w:kinsoku w:val="0"/>
        <w:overflowPunct w:val="0"/>
        <w:spacing w:after="0" w:line="240" w:lineRule="auto"/>
        <w:textAlignment w:val="baseline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ascii="TH SarabunPSK" w:hAnsi="TH SarabunPSK" w:eastAsia="Times New Roman" w:cs="TH SarabunPSK"/>
          <w:sz w:val="32"/>
          <w:szCs w:val="32"/>
        </w:rPr>
        <w:drawing>
          <wp:inline distT="0" distB="0" distL="0" distR="0">
            <wp:extent cx="6096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70"/>
          <w:tab w:val="left" w:pos="810"/>
          <w:tab w:val="left" w:pos="1350"/>
        </w:tabs>
        <w:kinsoku w:val="0"/>
        <w:overflowPunct w:val="0"/>
        <w:spacing w:after="0" w:line="240" w:lineRule="auto"/>
        <w:textAlignment w:val="baseline"/>
        <w:rPr>
          <w:rFonts w:ascii="TH SarabunPSK" w:hAnsi="TH SarabunPSK" w:eastAsia="Times New Roman" w:cs="TH SarabunPSK"/>
          <w:sz w:val="32"/>
          <w:szCs w:val="32"/>
        </w:rPr>
      </w:pPr>
    </w:p>
    <w:p>
      <w:pPr>
        <w:tabs>
          <w:tab w:val="left" w:pos="270"/>
          <w:tab w:val="left" w:pos="810"/>
          <w:tab w:val="left" w:pos="1350"/>
        </w:tabs>
        <w:kinsoku w:val="0"/>
        <w:overflowPunct w:val="0"/>
        <w:spacing w:after="0" w:line="240" w:lineRule="auto"/>
        <w:textAlignment w:val="baseline"/>
        <w:rPr>
          <w:rFonts w:ascii="TH SarabunPSK" w:hAnsi="TH SarabunPSK" w:eastAsia="Times New Roman" w:cs="TH SarabunPSK"/>
          <w:sz w:val="32"/>
          <w:szCs w:val="32"/>
        </w:rPr>
      </w:pPr>
    </w:p>
    <w:p>
      <w:pPr>
        <w:tabs>
          <w:tab w:val="left" w:pos="270"/>
          <w:tab w:val="left" w:pos="810"/>
          <w:tab w:val="left" w:pos="1350"/>
        </w:tabs>
        <w:kinsoku w:val="0"/>
        <w:overflowPunct w:val="0"/>
        <w:spacing w:after="0" w:line="240" w:lineRule="auto"/>
        <w:textAlignment w:val="baseline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ascii="TH SarabunPSK" w:hAnsi="TH SarabunPSK" w:eastAsia="Times New Roman" w:cs="TH SarabunPSK"/>
          <w:sz w:val="32"/>
          <w:szCs w:val="32"/>
        </w:rPr>
        <w:drawing>
          <wp:inline distT="0" distB="0" distL="0" distR="0">
            <wp:extent cx="60960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top="1080" w:right="1106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+mn-ea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63"/>
    <w:rsid w:val="001D4688"/>
    <w:rsid w:val="00417F2B"/>
    <w:rsid w:val="00463A59"/>
    <w:rsid w:val="00490FF1"/>
    <w:rsid w:val="00731063"/>
    <w:rsid w:val="0090080E"/>
    <w:rsid w:val="00A13DA9"/>
    <w:rsid w:val="00A565B4"/>
    <w:rsid w:val="00B3069B"/>
    <w:rsid w:val="1924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Angsana New" w:hAnsi="Angsana New" w:eastAsia="Times New Roman" w:cs="Angsana New"/>
      <w:sz w:val="28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Angsana New" w:hAnsi="Angsana New" w:eastAsia="Times New Roman" w:cs="Angsana New"/>
      <w:sz w:val="28"/>
      <w:szCs w:val="3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314</Words>
  <Characters>1794</Characters>
  <Lines>14</Lines>
  <Paragraphs>4</Paragraphs>
  <TotalTime>25</TotalTime>
  <ScaleCrop>false</ScaleCrop>
  <LinksUpToDate>false</LinksUpToDate>
  <CharactersWithSpaces>2104</CharactersWithSpaces>
  <Application>WPS Office_10.8.2.6597_F1E327BC-269C-435d-A152-05C5408002CA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2022-06-22T06:16:00Z</dcterms:created>
  <dc:creator>Admin</dc:creator>
  <cp:lastModifiedBy>HP</cp:lastModifiedBy>
  <dcterms:modified xsi:type="dcterms:W3CDTF">2022-06-24T08:05:00Z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